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7C88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ՀԱՆՐԱՊԵՏՈՒԹՅՈՒՆ</w:t>
      </w:r>
    </w:p>
    <w:p w14:paraId="2CF67C89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</w:p>
    <w:p w14:paraId="2CF67C8A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8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>/5430/05/18</w:t>
      </w:r>
    </w:p>
    <w:p w14:paraId="2CF67C8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2023</w:t>
      </w:r>
      <w:r w:rsidRPr="00880495">
        <w:rPr>
          <w:rFonts w:ascii="Sylfaen" w:eastAsia="Merriweather" w:hAnsi="Sylfaen" w:cs="Merriweather"/>
          <w:sz w:val="24"/>
          <w:szCs w:val="24"/>
        </w:rPr>
        <w:t>թ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8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>/5430/05/18</w:t>
      </w:r>
    </w:p>
    <w:p w14:paraId="2CF67C8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Նախագահող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Այվազյան</w:t>
      </w:r>
      <w:proofErr w:type="spellEnd"/>
    </w:p>
    <w:p w14:paraId="2CF67C8F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0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Ո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Ր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Ո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Շ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ՈՒ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</w:p>
    <w:p w14:paraId="2CF67C91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ՀԱՆՈՒՆ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ՀԱՆՐԱՊԵՏՈՒԹՅԱՆ</w:t>
      </w:r>
    </w:p>
    <w:p w14:paraId="2CF67C92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Հանրապետության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պալատը</w:t>
      </w:r>
      <w:proofErr w:type="spellEnd"/>
    </w:p>
    <w:p w14:paraId="2CF67C9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այսուհետ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կազմով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`</w:t>
      </w:r>
    </w:p>
    <w:p w14:paraId="2CF67C95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6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նախագահող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զեկուցող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Լ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r w:rsidRPr="00880495">
        <w:rPr>
          <w:rFonts w:ascii="Sylfaen" w:eastAsia="Merriweather" w:hAnsi="Sylfaen" w:cs="Merriweather"/>
          <w:sz w:val="24"/>
          <w:szCs w:val="24"/>
        </w:rPr>
        <w:t>ՀԱԿՈԲՅԱՆ</w:t>
      </w:r>
    </w:p>
    <w:p w14:paraId="2CF67C9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Ռ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ՀԱԿՈԲՅԱՆ</w:t>
      </w:r>
    </w:p>
    <w:p w14:paraId="2CF67C98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ԹՈՎՄԱՍՅԱՆ</w:t>
      </w:r>
    </w:p>
    <w:p w14:paraId="2CF67C99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2023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դեկտեմբերի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01-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</w:p>
    <w:p w14:paraId="2CF67C9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ընթացակարգով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երրորդ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ֆինանսների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նախարարություն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ոստիկանապետին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ներկայացրած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</w:t>
      </w:r>
    </w:p>
    <w:p w14:paraId="2CF67C9C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D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Պ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Ր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Զ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Ե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Ց</w:t>
      </w:r>
    </w:p>
    <w:p w14:paraId="2CF67C9E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9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1.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նախապատմությունը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A0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1.549.375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1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Հարությունյան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նախագահող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Առաքելյան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Ք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Մկոյան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Կ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Մաթևոսյան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 24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05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երրորդ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ֆինանսների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վճիռը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թողնվել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անփոփոխ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քաղաքացիական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պալատի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25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08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24.05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երրորդ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ֆինանսների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15.08.2022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r w:rsidRPr="00880495">
        <w:rPr>
          <w:rFonts w:ascii="Sylfaen" w:eastAsia="Merriweather" w:hAnsi="Sylfaen" w:cs="Merriweather"/>
          <w:sz w:val="24"/>
          <w:szCs w:val="24"/>
        </w:rPr>
        <w:t>Ս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Հովակիմյան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այսուհետ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16.08.2022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6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այսուհետ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թողնվել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անփոփոխ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A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Արտակ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Զեյնալյան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  <w:proofErr w:type="gramEnd"/>
    </w:p>
    <w:p w14:paraId="2CF67CA8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9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A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2.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հիմնավորումները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A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ներքոհիշյալ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հիմնավորումներով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A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>, 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61-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63-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Մարդու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հիմնարար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ազատությունների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կոնվենցիայի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քաղաքացիական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163-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411-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146-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Բողոքաբերը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հիմնավորումներով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A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շարադրել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նշանակություն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ունեցող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սակայն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ներկայացրած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բացատրությունների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փաստարկների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պատշաճ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հետազոտում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պարտականությունը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A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անտեսել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եզրահանգումն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», </w:t>
      </w:r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ե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պահպանմամբ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ներկայացուցիչների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18.02.2018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մինչև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16.04.2018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որևէ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ակնհայտ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ակնկալված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16.04.2018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18:00-</w:t>
      </w:r>
      <w:r w:rsidRPr="00880495">
        <w:rPr>
          <w:rFonts w:ascii="Sylfaen" w:eastAsia="Merriweather" w:hAnsi="Sylfaen" w:cs="Merriweather"/>
          <w:sz w:val="24"/>
          <w:szCs w:val="24"/>
        </w:rPr>
        <w:t>ից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ուշ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0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26.10.2021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խոչընդոտում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քաղաքացիական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411-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1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B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Վերոգրյալի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բողոքաբերը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B3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B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3.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պատճառաբանությունները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եզրահանգումները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B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իմաստով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առերևույթ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մարդու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ազատությունների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հիմնարար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կայացնելիս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61-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63-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Մարդու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հիմնարար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ազատությունների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</w:t>
      </w:r>
      <w:r w:rsidRPr="00880495">
        <w:rPr>
          <w:rFonts w:ascii="Sylfaen" w:eastAsia="Merriweather" w:hAnsi="Sylfaen" w:cs="Merriweather"/>
          <w:sz w:val="24"/>
          <w:szCs w:val="24"/>
        </w:rPr>
        <w:t>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կոնվենցիայի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թույլ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սխալ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խաթարել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արդարադատության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հիմնավորվում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ստորև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պատճառաբանություններով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B6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B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շրջանակներում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անդրադառնալ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8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B9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ցուցիչներից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կարևոր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բաղադրիչը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տե՛ս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Վայոց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Գլաձոր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համայնքի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ղեկավար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Արմեն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Մովսիսյանն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ծառայության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Վայոց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մարզային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բաժնի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երրորդ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`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Մետալ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ՍՊԸ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3/0037/05/18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04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11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):</w:t>
      </w:r>
    </w:p>
    <w:p w14:paraId="2CF67CB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խորհրդի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Ժողովրդավարություն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միջոցով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հանձնաժողովի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այսուհետ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Վենետիկի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հանձնաժողով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հսկիչ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ցանկը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»,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խորհրդի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մասնակից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պետություններում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գնահատման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չափանիշ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դիտարկում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դրսևորումներից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res judicata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չկատարելու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իմաստազրկվում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հսկիչ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ցանկ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», 107-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):</w:t>
      </w:r>
    </w:p>
    <w:p w14:paraId="2CF67CB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Վենետիկի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հանձնաժողովի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զեկույցի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2011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25-26) (CDL-</w:t>
      </w:r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AD(</w:t>
      </w:r>
      <w:proofErr w:type="gramEnd"/>
      <w:r w:rsidRPr="00880495">
        <w:rPr>
          <w:rFonts w:ascii="Sylfaen" w:eastAsia="Merriweather" w:hAnsi="Sylfaen" w:cs="Merriweather"/>
          <w:sz w:val="24"/>
          <w:szCs w:val="24"/>
        </w:rPr>
        <w:t>2011)003rev) 46-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res judicata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ներպետական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կասկածի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դրվեն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խորհրդի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նախարարների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կոմիտեի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09.09.2003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Rec(</w:t>
      </w:r>
      <w:proofErr w:type="gramEnd"/>
      <w:r w:rsidRPr="00880495">
        <w:rPr>
          <w:rFonts w:ascii="Sylfaen" w:eastAsia="Merriweather" w:hAnsi="Sylfaen" w:cs="Merriweather"/>
          <w:sz w:val="24"/>
          <w:szCs w:val="24"/>
        </w:rPr>
        <w:t xml:space="preserve">2003)17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հանձնարարականում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.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Մասնակից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պետություններն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պարտականություն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երաշխավորելու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Հանձնարարականի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ընթացակարգերը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բաժնի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1.b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որպեսզի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ընթացակարգը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հնարավորինս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կիրառելի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օրենքներին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Ցանկացած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մանրամասն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</w:t>
      </w:r>
      <w:r w:rsidRPr="00880495">
        <w:rPr>
          <w:rFonts w:ascii="Sylfaen" w:eastAsia="Merriweather" w:hAnsi="Sylfaen" w:cs="Merriweather"/>
          <w:sz w:val="24"/>
          <w:szCs w:val="24"/>
        </w:rPr>
        <w:t>ծընթացի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որոշակիությունն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թափանցիկությունը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կանխատեսելիությունն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հանձնարարականի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ուղեցույցի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Արդարադատության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հանձնաժողովի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(CEPEJ)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նկատմամբ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վստահության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գործընթաց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B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հետևողականորեն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նախադեպային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Կոնվենցիայի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կարևոր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բաղադրիչն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օգտին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առնչությամբ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մասնավորապես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Կոնվենցիայի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երևակայական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կլիներ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թույլ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ունեցող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անկատար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Դժվար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կլիներ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պատկերացնել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մանրամասն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նկարագրելով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երաշխիքները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չպաշտպաներ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մատչելիության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կառաջանային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գերակայության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անհամատեղելի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իրավիճակներ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Ուստի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ցանկացած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անբաժանելի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Կոնվենցիայի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իմաստով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տե՛ս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Hornsby v. Greece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18357/91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գանգատով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19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03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1997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վճիռը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40)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  <w:proofErr w:type="gramEnd"/>
    </w:p>
    <w:p w14:paraId="2CF67CB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հետևողականորեն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պրակտիկայում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ընդհանուր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մոտեցումը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չկատարելը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սահմանափակում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մատչելիության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զրկում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պաշտպանությունից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C0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դիրքորոշում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արտահայտել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վեճը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շահած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նախաձեռնել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օգտին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պատշաճ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ծանուցվի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հետո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նախաձեռնի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միջոցները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փոխանցի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պատասխանատու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տե՛ս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Burdov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v. Russia (No. 2)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33509/04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գանգատով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Եվրոպական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</w:t>
      </w:r>
      <w:r w:rsidRPr="00880495">
        <w:rPr>
          <w:rFonts w:ascii="Sylfaen" w:eastAsia="Merriweather" w:hAnsi="Sylfaen" w:cs="Merriweather"/>
          <w:sz w:val="24"/>
          <w:szCs w:val="24"/>
        </w:rPr>
        <w:t>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15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01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2009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վճիռը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68):</w:t>
      </w:r>
    </w:p>
    <w:p w14:paraId="2CF67CC1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դիրքորոշումներին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համահունչ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Հանրապետության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օրենսգիրք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հասցեատերերի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չկատարելն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առաջացնում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պատասխանատվություն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C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Վերոհիշյալի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պարտադիրության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սկզբունքի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գործնականում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երաշխավորող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ընթացակարգերի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միջոցով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ընթացակարգերը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ողջամիտ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ամբողջությամբ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շահագրգիռ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լուծող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այլևս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</w:t>
      </w:r>
      <w:r w:rsidRPr="00880495">
        <w:rPr>
          <w:rFonts w:ascii="Sylfaen" w:eastAsia="Merriweather" w:hAnsi="Sylfaen" w:cs="Merriweather"/>
          <w:sz w:val="24"/>
          <w:szCs w:val="24"/>
        </w:rPr>
        <w:t>տորեն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յուրաքանչյուր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կոնկրետ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գնահատելու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պարզել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սուբյեկտիվ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վերջինս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գնահատելու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նշանակություն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C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այսուհետ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Օրենսգիրք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 66-69-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միմյանցից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տարբերվում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բնույթով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ինքնակատարվող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Մասնավորապես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կանոն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ինքնակատարվող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</w:t>
      </w:r>
      <w:r w:rsidRPr="00880495">
        <w:rPr>
          <w:rFonts w:ascii="Sylfaen" w:eastAsia="Merriweather" w:hAnsi="Sylfaen" w:cs="Merriweather"/>
          <w:sz w:val="24"/>
          <w:szCs w:val="24"/>
        </w:rPr>
        <w:t>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չենթադրող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վիճարկման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69-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ճանաչման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անվավեր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ճանաչող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իրավահարաբերության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այլևս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չունեցող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անգործությունը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ճանաչող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կանոն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ինքնին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անվավեր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ճանաչելու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իրավահարաբերության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բացակայությու</w:t>
      </w:r>
      <w:r w:rsidRPr="00880495">
        <w:rPr>
          <w:rFonts w:ascii="Sylfaen" w:eastAsia="Merriweather" w:hAnsi="Sylfaen" w:cs="Merriweather"/>
          <w:sz w:val="24"/>
          <w:szCs w:val="24"/>
        </w:rPr>
        <w:t>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այլևս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չունեցող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անգործությունը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ճանաչելու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67-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դրանցից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յուրաքանչյուրն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նպատակներով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հետապնդում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C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չընդունվելու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փաստաթուղթը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C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նորմը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փոխկապակցության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գտնվում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ինստիտուտը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նորմերն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փոխկապակցության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կոչված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պաշտպանությունն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անգործության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ինստիտուտի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գործառույթն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նպատակը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</w:t>
      </w:r>
      <w:r w:rsidRPr="00880495">
        <w:rPr>
          <w:rFonts w:ascii="Sylfaen" w:eastAsia="Merriweather" w:hAnsi="Sylfaen" w:cs="Merriweather"/>
          <w:sz w:val="24"/>
          <w:szCs w:val="24"/>
        </w:rPr>
        <w:t>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ինստիտուտի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Ուստի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բացահայտելու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անդրադառնալ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ինստիտուտի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C6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22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2015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փոփոխություններով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պատշաճ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բարձրացվեց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մակարդակի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պատշաճ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առանձնացրել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բաղադրիչ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</w:p>
    <w:p w14:paraId="2CF67CC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-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առնչվող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անաչառ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արդարացի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ողջամիտ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),</w:t>
      </w:r>
    </w:p>
    <w:p w14:paraId="2CF67CC8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-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ծանոթանալու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պահպանվող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գաղտնիքների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),</w:t>
      </w:r>
    </w:p>
    <w:p w14:paraId="2CF67CC9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-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մաս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  <w:proofErr w:type="gramEnd"/>
    </w:p>
    <w:p w14:paraId="2CF67CC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Սահմանադրության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առնչվող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ողջամիտ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արագ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պարտականությունը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46-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առավելագույն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30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30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ավելի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երկար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C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Միաժամանակ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ելնելով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իրողությունից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ողջամիտ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կլիներ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երևակայական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երաշխիքների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օրենսդիրը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չընդունելու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հետևանքները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իրավասություն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ունեցող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</w:t>
      </w:r>
      <w:r w:rsidRPr="00880495">
        <w:rPr>
          <w:rFonts w:ascii="Sylfaen" w:eastAsia="Merriweather" w:hAnsi="Sylfaen" w:cs="Merriweather"/>
          <w:sz w:val="24"/>
          <w:szCs w:val="24"/>
        </w:rPr>
        <w:t>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>», 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ե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պահպանմամբ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որևէ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դիմողը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ձեռնամուխ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իրականացմանը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հաստատելու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հավաստել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փաստաթուղթը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չստացած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պատասխանատվությունից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պարտականություններից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փաստաթուղթը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չունենալու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C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Այսպիսով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պոզիտիվ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լռության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դոկտրինը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կարգով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de jure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դիրքորոշման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ենթադրություն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այսինքն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</w:t>
      </w:r>
      <w:r w:rsidRPr="00880495">
        <w:rPr>
          <w:rFonts w:ascii="Sylfaen" w:eastAsia="Merriweather" w:hAnsi="Sylfaen" w:cs="Merriweather"/>
          <w:sz w:val="24"/>
          <w:szCs w:val="24"/>
        </w:rPr>
        <w:t>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կանխավարկածը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հանդիսանում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ակնհայտ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պարտականություն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նրան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ակնհայտ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C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Անդրադառնալով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կարգավորմանը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կառուցակարգը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միաժամանակյա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C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1)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այսինքն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>», 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ե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պահանջներին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</w:t>
      </w:r>
    </w:p>
    <w:p w14:paraId="2CF67CC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2)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բացակայում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առոչնչության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</w:t>
      </w:r>
    </w:p>
    <w:p w14:paraId="2CF67CD0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lastRenderedPageBreak/>
        <w:t xml:space="preserve">3)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ընդունմանն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ուղղված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օժտված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իրավասությամբ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,</w:t>
      </w:r>
    </w:p>
    <w:p w14:paraId="2CF67CD1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4)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ցուցաբերել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անգործություն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որևէ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տե՛ս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Արթուր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Ախիջանյանն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Երևանի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քաղաքապետարանի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/8200/05/19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03.03.2022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):</w:t>
      </w:r>
    </w:p>
    <w:p w14:paraId="2CF67CD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իրավադրույթի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ակնհայտ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իրավաչափ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D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դիմողը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օգտվել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ներկայացնելիս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ակնկալած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ընդունվելիք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ընդգծել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կառուցակարգի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շրջանակներում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</w:t>
      </w:r>
      <w:r w:rsidRPr="00880495">
        <w:rPr>
          <w:rFonts w:ascii="Sylfaen" w:eastAsia="Merriweather" w:hAnsi="Sylfaen" w:cs="Merriweather"/>
          <w:sz w:val="24"/>
          <w:szCs w:val="24"/>
        </w:rPr>
        <w:t>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բխող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հավաստող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փաստաթուղթը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փաստաթուղթը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հաստատում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ձևական</w:t>
      </w:r>
      <w:r w:rsidRPr="00880495">
        <w:rPr>
          <w:rFonts w:ascii="Sylfaen" w:eastAsia="Merriweather" w:hAnsi="Sylfaen" w:cs="Merriweather"/>
          <w:sz w:val="24"/>
          <w:szCs w:val="24"/>
        </w:rPr>
        <w:t>-</w:t>
      </w:r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սպառիչ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տեղեկություններ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պարունակում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կոնկրետ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</w:t>
      </w:r>
      <w:r w:rsidRPr="00880495">
        <w:rPr>
          <w:rFonts w:ascii="Sylfaen" w:eastAsia="Merriweather" w:hAnsi="Sylfaen" w:cs="Merriweather"/>
          <w:sz w:val="24"/>
          <w:szCs w:val="24"/>
        </w:rPr>
        <w:t>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տե՛ս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Էրիկ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Վարդանյանն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Ճանապարհային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ծառայության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/0528/05/16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25.04.2017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):</w:t>
      </w:r>
    </w:p>
    <w:p w14:paraId="2CF67CD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Վերոհիշյալի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ունի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հետևանքները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կարգով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ձեռնամուխ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իրականացմանն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սկսած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տվյալ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</w:t>
      </w:r>
      <w:r w:rsidRPr="00880495">
        <w:rPr>
          <w:rFonts w:ascii="Sylfaen" w:eastAsia="Merriweather" w:hAnsi="Sylfaen" w:cs="Merriweather"/>
          <w:sz w:val="24"/>
          <w:szCs w:val="24"/>
        </w:rPr>
        <w:t>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հասցեատիրոջ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իրականացումը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զուրկ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կլիներ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Պատահական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օրենսդիրն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օգտագործել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ձևակերպումը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նշանակ</w:t>
      </w:r>
      <w:r w:rsidRPr="00880495">
        <w:rPr>
          <w:rFonts w:ascii="Sylfaen" w:eastAsia="Merriweather" w:hAnsi="Sylfaen" w:cs="Merriweather"/>
          <w:sz w:val="24"/>
          <w:szCs w:val="24"/>
        </w:rPr>
        <w:t>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հետագայում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պարզապես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ձևակերպում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ստանում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հետևանքներ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առաջացնում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թվագրված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առնվազն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օրվանով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հետագայում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ամրագրում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ստանա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թվագրմամբ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D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Վերոհիշյալի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եզրահանգում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պարագայում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մտելուց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հետո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պարագայում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զուտ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ձևակերպում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</w:t>
      </w:r>
      <w:r w:rsidRPr="00880495">
        <w:rPr>
          <w:rFonts w:ascii="Sylfaen" w:eastAsia="Merriweather" w:hAnsi="Sylfaen" w:cs="Merriweather"/>
          <w:sz w:val="24"/>
          <w:szCs w:val="24"/>
        </w:rPr>
        <w:t>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հաստատում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ձևական</w:t>
      </w:r>
      <w:r w:rsidRPr="00880495">
        <w:rPr>
          <w:rFonts w:ascii="Sylfaen" w:eastAsia="Merriweather" w:hAnsi="Sylfaen" w:cs="Merriweather"/>
          <w:sz w:val="24"/>
          <w:szCs w:val="24"/>
        </w:rPr>
        <w:t>-</w:t>
      </w:r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գոյությունը</w:t>
      </w:r>
      <w:proofErr w:type="spellEnd"/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սրանում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դրսևորվում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առաձնահատկությունը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D6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եզրահանգում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իրավասու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խնդրո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առարկա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թվագրմամբ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կապահովվի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սուբյեկտիվ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պաշտպանությունն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D7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D8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25.08.2021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D9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քառասունինը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յոթանասուն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>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  <w:r w:rsidRPr="00880495">
        <w:rPr>
          <w:rFonts w:ascii="Sylfaen" w:eastAsia="Merriweather" w:hAnsi="Sylfaen" w:cs="Merriweather"/>
          <w:sz w:val="24"/>
          <w:szCs w:val="24"/>
        </w:rPr>
        <w:t>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 95-134):</w:t>
      </w:r>
    </w:p>
    <w:p w14:paraId="2CF67CD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ուղղված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27.09.2021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ներկայացուցիչը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D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քառասունինը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յոթանասուն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>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  <w:r w:rsidRPr="00880495">
        <w:rPr>
          <w:rFonts w:ascii="Sylfaen" w:eastAsia="Merriweather" w:hAnsi="Sylfaen" w:cs="Merriweather"/>
          <w:sz w:val="24"/>
          <w:szCs w:val="24"/>
        </w:rPr>
        <w:t>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 140-143):</w:t>
      </w:r>
    </w:p>
    <w:p w14:paraId="2CF67CD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26.10.2021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D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քառասունինը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յոթանասուն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>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  <w:r w:rsidRPr="00880495">
        <w:rPr>
          <w:rFonts w:ascii="Sylfaen" w:eastAsia="Merriweather" w:hAnsi="Sylfaen" w:cs="Merriweather"/>
          <w:sz w:val="24"/>
          <w:szCs w:val="24"/>
        </w:rPr>
        <w:t>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 145-148):</w:t>
      </w:r>
    </w:p>
    <w:p w14:paraId="2CF67CD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ուղղված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ներկայացուցիչը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D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երրորդ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ֆինանսների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նախարարություն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ոստիկանապետին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քառասունինը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յոթանասուն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/5430/05/18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0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 16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08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վկայակոչմամբ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10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որոշեցի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ամբողջությամբ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արտացոլում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այսինքն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E1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ևս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25.08.2021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կամովին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եղել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10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ամբոջությամբ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վերարտադրել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E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Վերոգրյալ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վերլուծությունների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կիրառմամբ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շրջանակներում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գնահատելու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նպատակով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անհրաժեշտ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պարզել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10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25.08.2021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վճիռը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E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` (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․․․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Հանրապետության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Հայաստանի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Հանրապետության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24-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գլխով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…)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  <w:proofErr w:type="gram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17-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վճիռների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․․․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․․</w:t>
      </w:r>
      <w:proofErr w:type="gramStart"/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  <w:proofErr w:type="gramEnd"/>
    </w:p>
    <w:p w14:paraId="2CF67CE4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կարգը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Վերջինիս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առաջին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ատյանի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միջանկյալ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պահանջատիրոջ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լիազորված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մտնելուց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հետո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բացառությամբ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համաձայն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</w:t>
      </w:r>
      <w:r w:rsidRPr="00880495">
        <w:rPr>
          <w:rFonts w:ascii="Sylfaen" w:eastAsia="Merriweather" w:hAnsi="Sylfaen" w:cs="Merriweather"/>
          <w:sz w:val="24"/>
          <w:szCs w:val="24"/>
        </w:rPr>
        <w:t>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լուծելիս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նիստ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հրավիրելու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թողնելու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սպառիչ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սահմանում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եթե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.</w:t>
      </w:r>
    </w:p>
    <w:p w14:paraId="2CF67CE6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(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․․․</w:t>
      </w:r>
      <w:r w:rsidRPr="00880495">
        <w:rPr>
          <w:rFonts w:ascii="Sylfaen" w:eastAsia="Merriweather" w:hAnsi="Sylfaen" w:cs="Merriweather"/>
          <w:sz w:val="24"/>
          <w:szCs w:val="24"/>
        </w:rPr>
        <w:t>)</w:t>
      </w:r>
    </w:p>
    <w:p w14:paraId="2CF67CE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4)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ենթադրում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gramStart"/>
      <w:r w:rsidRPr="00880495">
        <w:rPr>
          <w:rFonts w:ascii="Sylfaen" w:eastAsia="Merriweather" w:hAnsi="Sylfaen" w:cs="Merriweather"/>
          <w:sz w:val="24"/>
          <w:szCs w:val="24"/>
        </w:rPr>
        <w:t>(.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proofErr w:type="gramEnd"/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)</w:t>
      </w:r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E8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բովանդակությունից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բխում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քննարկելիս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պարզում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</w:p>
    <w:p w14:paraId="2CF67CE9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գնահատելիս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վեճն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լուծող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դիտարկել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համակցության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ինչպես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հայցատեսակի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A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ուսումնասիրության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Հարությունյան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68-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վերջինս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պարտավորեցնել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</w:t>
      </w:r>
      <w:r w:rsidRPr="00880495">
        <w:rPr>
          <w:rFonts w:ascii="Sylfaen" w:eastAsia="Merriweather" w:hAnsi="Sylfaen" w:cs="Merriweather"/>
          <w:sz w:val="24"/>
          <w:szCs w:val="24"/>
        </w:rPr>
        <w:t>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1.549.375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</w:t>
      </w:r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հացը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ամբողջությամբ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շարադրելով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եզրափակիչ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գույքային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1.549.375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քառասունինը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երեք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յոթանասուն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չափով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փոխհատուցել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խաղաղ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հավաքների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խոսքի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</w:t>
      </w:r>
      <w:r w:rsidRPr="00880495">
        <w:rPr>
          <w:rFonts w:ascii="Sylfaen" w:eastAsia="Merriweather" w:hAnsi="Sylfaen" w:cs="Merriweather"/>
          <w:sz w:val="24"/>
          <w:szCs w:val="24"/>
        </w:rPr>
        <w:t>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ազատության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անձեռնմխելիության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անձնական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կյանքի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հարգանքի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500.000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հինգ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հարյուր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հազար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նվաստացնող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անմարդկային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վերաբերմունքից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զերծ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մնալու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խախտման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1.000.000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միլիոն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դրամ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նյութական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գումարի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բոլոր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տեսակի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հնարավոր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Միևնույն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ժամանակ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պատճառաբանական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եզրահանգում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</w:t>
      </w:r>
      <w:r w:rsidRPr="00880495">
        <w:rPr>
          <w:rFonts w:ascii="Sylfaen" w:eastAsia="Merriweather" w:hAnsi="Sylfaen" w:cs="Merriweather"/>
          <w:sz w:val="24"/>
          <w:szCs w:val="24"/>
        </w:rPr>
        <w:t>յունում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17.03.2018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որևէ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) 16.04.2018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18:00-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(17.03.2018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հաշվարկված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օրացուցային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15.04.2018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աշխատանքային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),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ընթացքում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պատասխանող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մարմինը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ներկայացուցիչների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որևէ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»:</w:t>
      </w:r>
    </w:p>
    <w:p w14:paraId="2CF67CEB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արտահայտված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դիրքորոշումները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կիրառելով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հանգամանքների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նկատմամբ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ի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10.07.2019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ոստիկանությունից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զուտ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փաստաթղթային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ձևակերպում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17.03.2018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հարուցված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(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նշված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հաստատված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անվիճելի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փաստ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)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օրվանից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17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04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իսկ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ֆիկտիվ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կերպ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պահանջվում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էր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հաստատել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համակարգում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համապատասխան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ժամկետի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ավարտին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հաջորդող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17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04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ընդունված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lastRenderedPageBreak/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ձևական</w:t>
      </w:r>
      <w:r w:rsidRPr="00880495">
        <w:rPr>
          <w:rFonts w:ascii="Sylfaen" w:eastAsia="Merriweather" w:hAnsi="Sylfaen" w:cs="Merriweather"/>
          <w:sz w:val="24"/>
          <w:szCs w:val="24"/>
        </w:rPr>
        <w:t>-</w:t>
      </w:r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տրամադրվեր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նրա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բարենպաստ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թվագրված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17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04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։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Միայն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կերաշխավորվեր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արդյունավետ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հետևաբար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նաև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ամբողջական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վերականգնումը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Հակառակ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հայցվորի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իմաստազրկվում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գործիքակազմը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պատշաճ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իրավունքի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իրացումն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ապահովող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երաշխիք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C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Այսպիսով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արձանագրում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ստորադաս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10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դիտարկելով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/5430/05/18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ցուցաբերել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ձևական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մոտեցում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հիմունքների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վարույթի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48-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ֆիկցիայի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բովանդակությամբ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պայմանավորված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խնդրո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առարկա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առանձնահատկությունը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D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Ամփոփելով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վերոգրյալը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գտնում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սույն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դեպքում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իրավաբանական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ոստիկանության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գնդապետ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Մ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Մուրադյանի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կողմից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10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2021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Վարչարարությամբ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հասցված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վնասը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հատուցելու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թիվ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369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կարող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դիտարկվել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որպես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ՎԴ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/5430/05/18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գործով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լինելու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վերաբերյալ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ապացույց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ըստ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այդմ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Հայկ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Մաշուրյանի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՝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հարկադիր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18-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5-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1-</w:t>
      </w:r>
      <w:r w:rsidRPr="00880495">
        <w:rPr>
          <w:rFonts w:ascii="Sylfaen" w:eastAsia="Merriweather" w:hAnsi="Sylfaen" w:cs="Merriweather"/>
          <w:sz w:val="24"/>
          <w:szCs w:val="24"/>
        </w:rPr>
        <w:t>ին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կետով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նախատեսված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E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Այսպիսով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առկայությունը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դիտում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150-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152-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163-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համար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EF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Հաշվի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շարադրված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հիմնավորումները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ղեկավարվելով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դատավարության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օրենսգրքի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153-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>, 169-171-</w:t>
      </w:r>
      <w:r w:rsidRPr="00880495">
        <w:rPr>
          <w:rFonts w:ascii="Sylfaen" w:eastAsia="Merriweather" w:hAnsi="Sylfaen" w:cs="Merriweather"/>
          <w:sz w:val="24"/>
          <w:szCs w:val="24"/>
        </w:rPr>
        <w:t>րդ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հոդվածներով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դատարանը</w:t>
      </w:r>
      <w:proofErr w:type="spellEnd"/>
    </w:p>
    <w:p w14:paraId="2CF67CF0" w14:textId="77777777" w:rsidR="00142E71" w:rsidRPr="00880495" w:rsidRDefault="00880495">
      <w:pPr>
        <w:ind w:firstLine="567"/>
        <w:jc w:val="center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Ո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Ր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Ո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Շ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Ե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Ց</w:t>
      </w:r>
    </w:p>
    <w:p w14:paraId="2CF67CF1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F2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lastRenderedPageBreak/>
        <w:t xml:space="preserve">1.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Վճռաբեկ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բավարարել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: </w:t>
      </w:r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26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>12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Վերաքննիչ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մերժելու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նոր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ակտ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`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վերացնել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ՀՀ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վարչական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դատարանի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16.08.2022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թվականի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«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Կատարողական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թերթ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տալու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դիմումը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քննության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առնելու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մասին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»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որոշումը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F3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 xml:space="preserve">2.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Որոշումն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օրինական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ուժի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մեջ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մտնում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կայացման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պահից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վերջնական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է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բողոքարկման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ենթակա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չէ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>:</w:t>
      </w:r>
    </w:p>
    <w:p w14:paraId="2CF67CF4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F5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Նախագահող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և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880495">
        <w:rPr>
          <w:rFonts w:ascii="Sylfaen" w:eastAsia="Merriweather" w:hAnsi="Sylfaen" w:cs="Merriweather"/>
          <w:sz w:val="24"/>
          <w:szCs w:val="24"/>
        </w:rPr>
        <w:t>զեկուցող</w:t>
      </w:r>
      <w:proofErr w:type="spellEnd"/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Լ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. </w:t>
      </w:r>
      <w:r w:rsidRPr="00880495">
        <w:rPr>
          <w:rFonts w:ascii="Sylfaen" w:eastAsia="Merriweather" w:hAnsi="Sylfaen" w:cs="Merriweather"/>
          <w:sz w:val="24"/>
          <w:szCs w:val="24"/>
        </w:rPr>
        <w:t>ՀԱԿՈԲՅԱՆ</w:t>
      </w:r>
    </w:p>
    <w:p w14:paraId="2CF67CF6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F7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Ռ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ՀԱԿՈԲՅԱՆ</w:t>
      </w:r>
    </w:p>
    <w:p w14:paraId="2CF67CF8" w14:textId="77777777" w:rsidR="00142E71" w:rsidRPr="00880495" w:rsidRDefault="00142E71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</w:p>
    <w:p w14:paraId="2CF67CF9" w14:textId="77777777" w:rsidR="00142E71" w:rsidRPr="00880495" w:rsidRDefault="00880495">
      <w:pPr>
        <w:ind w:firstLine="567"/>
        <w:jc w:val="both"/>
        <w:rPr>
          <w:rFonts w:ascii="Sylfaen" w:eastAsia="Merriweather" w:hAnsi="Sylfaen" w:cs="Merriweather"/>
          <w:sz w:val="24"/>
          <w:szCs w:val="24"/>
        </w:rPr>
      </w:pPr>
      <w:r w:rsidRPr="00880495">
        <w:rPr>
          <w:rFonts w:ascii="Sylfaen" w:eastAsia="Merriweather" w:hAnsi="Sylfaen" w:cs="Merriweather"/>
          <w:sz w:val="24"/>
          <w:szCs w:val="24"/>
        </w:rPr>
        <w:t>Ա</w:t>
      </w:r>
      <w:r w:rsidRPr="00880495">
        <w:rPr>
          <w:rFonts w:ascii="Times New Roman" w:eastAsia="Times New Roman" w:hAnsi="Times New Roman" w:cs="Times New Roman"/>
          <w:sz w:val="24"/>
          <w:szCs w:val="24"/>
        </w:rPr>
        <w:t>․</w:t>
      </w:r>
      <w:r w:rsidRPr="00880495">
        <w:rPr>
          <w:rFonts w:ascii="Sylfaen" w:eastAsia="Merriweather" w:hAnsi="Sylfaen" w:cs="Merriweather"/>
          <w:sz w:val="24"/>
          <w:szCs w:val="24"/>
        </w:rPr>
        <w:t xml:space="preserve"> </w:t>
      </w:r>
      <w:r w:rsidRPr="00880495">
        <w:rPr>
          <w:rFonts w:ascii="Sylfaen" w:eastAsia="Merriweather" w:hAnsi="Sylfaen" w:cs="Merriweather"/>
          <w:sz w:val="24"/>
          <w:szCs w:val="24"/>
        </w:rPr>
        <w:t>ԹՈՎՄԱՍՅԱՆ</w:t>
      </w:r>
    </w:p>
    <w:sectPr w:rsidR="00142E71" w:rsidRPr="0088049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CFF" w14:textId="77777777" w:rsidR="00880495" w:rsidRDefault="00880495">
      <w:pPr>
        <w:spacing w:after="0" w:line="240" w:lineRule="auto"/>
      </w:pPr>
      <w:r>
        <w:separator/>
      </w:r>
    </w:p>
  </w:endnote>
  <w:endnote w:type="continuationSeparator" w:id="0">
    <w:p w14:paraId="2CF67D01" w14:textId="77777777" w:rsidR="00880495" w:rsidRDefault="0088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CFA" w14:textId="106CEF23" w:rsidR="00142E71" w:rsidRDefault="0088049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Merriweather" w:eastAsia="Merriweather" w:hAnsi="Merriweather" w:cs="Merriweather"/>
        <w:color w:val="000000"/>
        <w:sz w:val="18"/>
        <w:szCs w:val="18"/>
      </w:rPr>
    </w:pP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begin"/>
    </w:r>
    <w:r>
      <w:rPr>
        <w:rFonts w:ascii="Merriweather" w:eastAsia="Merriweather" w:hAnsi="Merriweather" w:cs="Merriweather"/>
        <w:b/>
        <w:color w:val="000000"/>
        <w:sz w:val="18"/>
        <w:szCs w:val="18"/>
      </w:rPr>
      <w:instrText>PAGE</w:instrTex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separate"/>
    </w:r>
    <w:r>
      <w:rPr>
        <w:rFonts w:ascii="Merriweather" w:eastAsia="Merriweather" w:hAnsi="Merriweather" w:cs="Merriweather"/>
        <w:b/>
        <w:noProof/>
        <w:color w:val="000000"/>
        <w:sz w:val="18"/>
        <w:szCs w:val="18"/>
      </w:rPr>
      <w:t>1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end"/>
    </w:r>
    <w:r>
      <w:rPr>
        <w:rFonts w:ascii="Merriweather" w:eastAsia="Merriweather" w:hAnsi="Merriweather" w:cs="Merriweather"/>
        <w:color w:val="000000"/>
        <w:sz w:val="18"/>
        <w:szCs w:val="18"/>
      </w:rPr>
      <w:t xml:space="preserve"> / 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begin"/>
    </w:r>
    <w:r>
      <w:rPr>
        <w:rFonts w:ascii="Merriweather" w:eastAsia="Merriweather" w:hAnsi="Merriweather" w:cs="Merriweather"/>
        <w:b/>
        <w:color w:val="000000"/>
        <w:sz w:val="18"/>
        <w:szCs w:val="18"/>
      </w:rPr>
      <w:instrText>NUMPAGES</w:instrTex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separate"/>
    </w:r>
    <w:r>
      <w:rPr>
        <w:rFonts w:ascii="Merriweather" w:eastAsia="Merriweather" w:hAnsi="Merriweather" w:cs="Merriweather"/>
        <w:b/>
        <w:noProof/>
        <w:color w:val="000000"/>
        <w:sz w:val="18"/>
        <w:szCs w:val="18"/>
      </w:rPr>
      <w:t>2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7CFB" w14:textId="77777777" w:rsidR="00880495" w:rsidRDefault="00880495">
      <w:pPr>
        <w:spacing w:after="0" w:line="240" w:lineRule="auto"/>
      </w:pPr>
      <w:r>
        <w:separator/>
      </w:r>
    </w:p>
  </w:footnote>
  <w:footnote w:type="continuationSeparator" w:id="0">
    <w:p w14:paraId="2CF67CFD" w14:textId="77777777" w:rsidR="00880495" w:rsidRDefault="0088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71"/>
    <w:rsid w:val="00142E71"/>
    <w:rsid w:val="008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7C88"/>
  <w15:docId w15:val="{F1F1C14F-7967-4AED-B3C1-9BE2187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5794</Words>
  <Characters>33029</Characters>
  <Application>Microsoft Office Word</Application>
  <DocSecurity>0</DocSecurity>
  <Lines>275</Lines>
  <Paragraphs>77</Paragraphs>
  <ScaleCrop>false</ScaleCrop>
  <Company/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Gevorg Gyozalyan</cp:lastModifiedBy>
  <cp:revision>2</cp:revision>
  <dcterms:created xsi:type="dcterms:W3CDTF">2023-12-14T18:39:00Z</dcterms:created>
  <dcterms:modified xsi:type="dcterms:W3CDTF">2023-12-14T18:40:00Z</dcterms:modified>
</cp:coreProperties>
</file>